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161A" w:rsidRPr="005B161A" w:rsidTr="005B161A">
        <w:trPr>
          <w:tblCellSpacing w:w="0" w:type="dxa"/>
        </w:trPr>
        <w:tc>
          <w:tcPr>
            <w:tcW w:w="0" w:type="auto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B4F34"/>
                <w:kern w:val="36"/>
                <w:sz w:val="21"/>
                <w:szCs w:val="21"/>
                <w:lang w:eastAsia="ru-RU"/>
              </w:rPr>
            </w:pPr>
            <w:r w:rsidRPr="005B161A">
              <w:rPr>
                <w:rFonts w:ascii="Arial" w:eastAsia="Times New Roman" w:hAnsi="Arial" w:cs="Arial"/>
                <w:b/>
                <w:bCs/>
                <w:color w:val="3B4F34"/>
                <w:kern w:val="36"/>
                <w:sz w:val="21"/>
                <w:szCs w:val="21"/>
                <w:lang w:eastAsia="ru-RU"/>
              </w:rPr>
              <w:t xml:space="preserve">Оборудование для сбора нефти/нефтепродуктов с водной </w:t>
            </w:r>
            <w:proofErr w:type="gramStart"/>
            <w:r w:rsidRPr="005B161A">
              <w:rPr>
                <w:rFonts w:ascii="Arial" w:eastAsia="Times New Roman" w:hAnsi="Arial" w:cs="Arial"/>
                <w:b/>
                <w:bCs/>
                <w:color w:val="3B4F34"/>
                <w:kern w:val="36"/>
                <w:sz w:val="21"/>
                <w:szCs w:val="21"/>
                <w:lang w:eastAsia="ru-RU"/>
              </w:rPr>
              <w:t>поверхности &gt;</w:t>
            </w:r>
            <w:proofErr w:type="gramEnd"/>
            <w:r w:rsidRPr="005B161A">
              <w:rPr>
                <w:rFonts w:ascii="Arial" w:eastAsia="Times New Roman" w:hAnsi="Arial" w:cs="Arial"/>
                <w:b/>
                <w:bCs/>
                <w:color w:val="3B4F34"/>
                <w:kern w:val="36"/>
                <w:sz w:val="21"/>
                <w:szCs w:val="21"/>
                <w:lang w:eastAsia="ru-RU"/>
              </w:rPr>
              <w:t xml:space="preserve"> Вакуумное нефтесборное устройство</w:t>
            </w:r>
          </w:p>
        </w:tc>
      </w:tr>
    </w:tbl>
    <w:p w:rsidR="005B161A" w:rsidRPr="005B161A" w:rsidRDefault="005B161A" w:rsidP="005B161A">
      <w:p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 xml:space="preserve">  «Вакуумное нефтесборное устройство» предназначено для сбора разлитых нефти </w:t>
      </w:r>
      <w:proofErr w:type="gramStart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и  других</w:t>
      </w:r>
      <w:proofErr w:type="gramEnd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 xml:space="preserve"> загрязняющих веществ,  как с водной поверхности, так и с поверхности почвы.</w:t>
      </w: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br/>
        <w:t xml:space="preserve">   Устройство компактно и имеет небольшой вес, что позволяет применять его </w:t>
      </w:r>
      <w:proofErr w:type="gramStart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в  труднодоступных</w:t>
      </w:r>
      <w:proofErr w:type="gramEnd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 xml:space="preserve"> местах, куда невозможно доставить тяжелую технику. </w:t>
      </w: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br/>
        <w:t xml:space="preserve">   Конструкция «Вакуумного нефтесборного устройства» </w:t>
      </w:r>
      <w:proofErr w:type="gramStart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позволяет  осуществлять</w:t>
      </w:r>
      <w:proofErr w:type="gramEnd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 xml:space="preserve"> сбор нефти циклически – «заполнение приемного бункера – разгрузка - заполнение». Собираемое вещество может закачиваться либо в приемный бункер (объем 250 л), </w:t>
      </w:r>
      <w:proofErr w:type="gramStart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либо  может</w:t>
      </w:r>
      <w:proofErr w:type="gramEnd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 xml:space="preserve"> закачиваться в стандартные стальные 200 л бочки.</w:t>
      </w: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br/>
        <w:t xml:space="preserve">   Заполнение приемного бункера и его разгрузка осуществляются с помощью одного насосно-силового блока. При заполнении бункера вакуумный насос создает в системе значительное вакуумное разряжение (до минус 0,98 </w:t>
      </w:r>
      <w:proofErr w:type="spellStart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атм</w:t>
      </w:r>
      <w:proofErr w:type="spellEnd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), а при разгрузке бункера насос работает в реверсном режиме и создает необходимое избыточное давление в приемном бункере.</w:t>
      </w: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br/>
        <w:t xml:space="preserve">   Предлагаемое «Вакуумное нефтесборное устройство» позволяет осуществлять сбор достаточно вязких веществ, в том </w:t>
      </w:r>
      <w:proofErr w:type="gramStart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числе  с</w:t>
      </w:r>
      <w:proofErr w:type="gramEnd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 xml:space="preserve"> большим содержанием </w:t>
      </w:r>
      <w:proofErr w:type="spellStart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мехпримесей</w:t>
      </w:r>
      <w:proofErr w:type="spellEnd"/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 xml:space="preserve"> (макс. размер до 30 мм).</w:t>
      </w: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br/>
        <w:t>   Максимальная производительность «Вакуумного нефтесборного устройства» составляет 10 м</w:t>
      </w:r>
      <w:r w:rsidRPr="005B161A">
        <w:rPr>
          <w:rFonts w:ascii="Verdana" w:eastAsia="Times New Roman" w:hAnsi="Verdana" w:cs="Times New Roman"/>
          <w:color w:val="3B4F34"/>
          <w:sz w:val="17"/>
          <w:szCs w:val="17"/>
          <w:vertAlign w:val="superscript"/>
          <w:lang w:eastAsia="ru-RU"/>
        </w:rPr>
        <w:t>3</w:t>
      </w: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/час.  </w:t>
      </w:r>
    </w:p>
    <w:p w:rsidR="005B161A" w:rsidRPr="005B161A" w:rsidRDefault="005B161A" w:rsidP="005B161A">
      <w:p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 Стандартная комплектация «Вакуумного нефтесборного устройства»: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насосно-силовой блок;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съемный вакуумный купол;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приемный бункер с разгрузочным патрубком (хоппер);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всасывающая насадка;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комплект всасывающих шлангов с быстроразъемными соединениями;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комплект нагнетательных шлангов с быстроразъемными соединениями;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комплект разгрузочных шлангов с быстроразъемными соединениями;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защитный чехол для насосно-силового блока;</w:t>
      </w:r>
    </w:p>
    <w:p w:rsidR="005B161A" w:rsidRPr="005B161A" w:rsidRDefault="005B161A" w:rsidP="005B161A">
      <w:pPr>
        <w:numPr>
          <w:ilvl w:val="0"/>
          <w:numId w:val="1"/>
        </w:numPr>
        <w:shd w:val="clear" w:color="auto" w:fill="A6D08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  транспортная упаковка (фанерные ящики).</w:t>
      </w:r>
    </w:p>
    <w:p w:rsidR="005B161A" w:rsidRPr="005B161A" w:rsidRDefault="005B161A" w:rsidP="005B161A">
      <w:pPr>
        <w:shd w:val="clear" w:color="auto" w:fill="A6D08E"/>
        <w:spacing w:after="0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</w:t>
      </w:r>
    </w:p>
    <w:p w:rsidR="005B161A" w:rsidRPr="005B161A" w:rsidRDefault="005B161A" w:rsidP="005B161A">
      <w:pPr>
        <w:shd w:val="clear" w:color="auto" w:fill="A6D08E"/>
        <w:spacing w:after="0" w:line="240" w:lineRule="auto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  <w:t>   Основные технические характеристики «Вакуумного нефтесборного устройства» приведены в таблице.</w:t>
      </w:r>
    </w:p>
    <w:p w:rsidR="005B161A" w:rsidRPr="005B161A" w:rsidRDefault="005B161A" w:rsidP="005B161A">
      <w:pPr>
        <w:shd w:val="clear" w:color="auto" w:fill="A6D08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B4F34"/>
          <w:sz w:val="17"/>
          <w:szCs w:val="17"/>
          <w:lang w:eastAsia="ru-RU"/>
        </w:rPr>
      </w:pPr>
      <w:r w:rsidRPr="005B161A">
        <w:rPr>
          <w:rFonts w:ascii="Verdana" w:eastAsia="Times New Roman" w:hAnsi="Verdana" w:cs="Times New Roman"/>
          <w:b/>
          <w:bCs/>
          <w:color w:val="3B4F34"/>
          <w:sz w:val="17"/>
          <w:szCs w:val="17"/>
          <w:lang w:eastAsia="ru-RU"/>
        </w:rPr>
        <w:t>Таблица характеристик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4"/>
        <w:gridCol w:w="5261"/>
      </w:tblGrid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528834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ru-RU"/>
              </w:rPr>
              <w:t>Параметр</w:t>
            </w:r>
          </w:p>
        </w:tc>
        <w:tc>
          <w:tcPr>
            <w:tcW w:w="0" w:type="auto"/>
            <w:shd w:val="clear" w:color="auto" w:fill="528834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ru-RU"/>
              </w:rPr>
              <w:t>Значение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Тип вакуумного насоса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proofErr w:type="spellStart"/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двухроторный</w:t>
            </w:r>
            <w:proofErr w:type="spellEnd"/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Производительность установки, м</w:t>
            </w: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vertAlign w:val="superscript"/>
                <w:lang w:eastAsia="ru-RU"/>
              </w:rPr>
              <w:t>3</w:t>
            </w: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/час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до 10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 xml:space="preserve">Максимальное разряжение, </w:t>
            </w:r>
            <w:proofErr w:type="spellStart"/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атм</w:t>
            </w:r>
            <w:proofErr w:type="spellEnd"/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20"/>
                <w:szCs w:val="20"/>
                <w:vertAlign w:val="superscript"/>
                <w:lang w:eastAsia="ru-RU"/>
              </w:rPr>
              <w:t>-0,8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Тип привода насосно-силового блока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от дизельного, бензинового или электрического двигателя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Мощность двигателя насосно-силового блока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до 5 кВт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Габариты насосно-силового блока, мм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1070 x 750 x 1000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Вес насосно-силового блока, кг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не более 117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Габариты приемного бункера (хоппера), мм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Ø 900 х1650</w:t>
            </w:r>
          </w:p>
        </w:tc>
      </w:tr>
      <w:tr w:rsidR="005B161A" w:rsidRPr="005B161A" w:rsidTr="005B161A">
        <w:trPr>
          <w:tblCellSpacing w:w="15" w:type="dxa"/>
        </w:trPr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after="0" w:line="240" w:lineRule="auto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Вес приемного бункера (хоппера), кг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5B161A" w:rsidRPr="005B161A" w:rsidRDefault="005B161A" w:rsidP="005B161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</w:pPr>
            <w:r w:rsidRPr="005B161A">
              <w:rPr>
                <w:rFonts w:ascii="Verdana" w:eastAsia="Times New Roman" w:hAnsi="Verdana" w:cs="Times New Roman"/>
                <w:color w:val="3B4F34"/>
                <w:sz w:val="17"/>
                <w:szCs w:val="17"/>
                <w:lang w:eastAsia="ru-RU"/>
              </w:rPr>
              <w:t>60</w:t>
            </w:r>
          </w:p>
        </w:tc>
      </w:tr>
    </w:tbl>
    <w:p w:rsidR="00722369" w:rsidRDefault="00722369">
      <w:bookmarkStart w:id="0" w:name="_GoBack"/>
      <w:bookmarkEnd w:id="0"/>
    </w:p>
    <w:sectPr w:rsidR="0072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1312A"/>
    <w:multiLevelType w:val="multilevel"/>
    <w:tmpl w:val="9CCE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0"/>
    <w:rsid w:val="00360870"/>
    <w:rsid w:val="005B161A"/>
    <w:rsid w:val="007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5C58-9FA6-4DFA-8C74-FD8CC398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2020-03-24T09:52:00Z</dcterms:created>
  <dcterms:modified xsi:type="dcterms:W3CDTF">2020-03-24T09:52:00Z</dcterms:modified>
</cp:coreProperties>
</file>